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82A7" w14:textId="77777777" w:rsidR="00457F82" w:rsidRPr="004D3065" w:rsidRDefault="00457F82" w:rsidP="00457F82">
      <w:pPr>
        <w:rPr>
          <w:rFonts w:ascii="Times New Roman" w:eastAsia="Times New Roman" w:hAnsi="Times New Roman" w:cs="Times New Roman"/>
          <w:lang w:eastAsia="en-GB"/>
        </w:rPr>
      </w:pPr>
      <w:r>
        <w:rPr>
          <w:lang w:val="en-US"/>
        </w:rPr>
        <w:t xml:space="preserve">On </w:t>
      </w:r>
      <w:r w:rsidRPr="004D306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Youth, Skills and Employability</w:t>
      </w:r>
    </w:p>
    <w:p w14:paraId="7C61FD22" w14:textId="77777777" w:rsidR="00457F82" w:rsidRDefault="00457F82" w:rsidP="00457F82">
      <w:pPr>
        <w:rPr>
          <w:lang w:val="en-US"/>
        </w:rPr>
      </w:pPr>
    </w:p>
    <w:p w14:paraId="5638F198" w14:textId="2C3860E9" w:rsidR="00457F82" w:rsidRDefault="00457F82" w:rsidP="00457F82">
      <w:pPr>
        <w:rPr>
          <w:lang w:val="en-US"/>
        </w:rPr>
      </w:pPr>
      <w:r>
        <w:rPr>
          <w:lang w:val="en-US"/>
        </w:rPr>
        <w:t xml:space="preserve">(prepared by </w:t>
      </w:r>
      <w:proofErr w:type="spellStart"/>
      <w:r>
        <w:rPr>
          <w:lang w:val="en-US"/>
        </w:rPr>
        <w:t>Maithreyi</w:t>
      </w:r>
      <w:proofErr w:type="spellEnd"/>
      <w:r>
        <w:rPr>
          <w:lang w:val="en-US"/>
        </w:rPr>
        <w:t xml:space="preserve"> R.)</w:t>
      </w:r>
    </w:p>
    <w:p w14:paraId="619931F4" w14:textId="77777777" w:rsidR="00457F82" w:rsidRDefault="00457F82" w:rsidP="00457F82">
      <w:pPr>
        <w:rPr>
          <w:lang w:val="en-US"/>
        </w:rPr>
      </w:pPr>
    </w:p>
    <w:p w14:paraId="4D1E4065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1. Soo Ah Kwon (2013). Uncivil Youth. Race, Activism and Affirmative Governmentality. Durham,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NC:Duke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 University Press</w:t>
      </w:r>
    </w:p>
    <w:p w14:paraId="1C994BF8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2.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Balridge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>, B.J. (2019). Reclaiming Community: Race and Uncertain Future of Youth Work. Stanford, California: Stanford University Press</w:t>
      </w:r>
    </w:p>
    <w:p w14:paraId="40042470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>3. Abdullah, B., Abraham, V., and Jain, R. (2023). Relative Occupational Aspirations and Youth Unemployment in India. Working Paper 511. Thiruvananthapuram: Centre for Development Studies. Retrieved from </w:t>
      </w:r>
      <w:hyperlink r:id="rId5" w:tgtFrame="_blank" w:history="1">
        <w:r w:rsidRPr="004D3065">
          <w:rPr>
            <w:rFonts w:ascii="Arial" w:eastAsia="Times New Roman" w:hAnsi="Arial" w:cs="Arial"/>
            <w:color w:val="1155CC"/>
            <w:u w:val="single"/>
            <w:lang w:eastAsia="en-GB"/>
          </w:rPr>
          <w:t>https://cds.edu/wp-content/uploads/WP511.pdf</w:t>
        </w:r>
      </w:hyperlink>
    </w:p>
    <w:p w14:paraId="79F6B121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>4. 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Priyam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, M., Mehta, M.G., and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Vaid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>, D. (2024). Urban transformations, youth aspirations, and education in India. South Asian History and Culture, 15,2, 131-141, DOI: 10.1080/19472498.2024.2338597</w:t>
      </w:r>
    </w:p>
    <w:p w14:paraId="07F63408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5. Prabha, K., and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Maithreyi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 R. (2025). Skilling Youth in the Global South. Oxford Bibliographies. </w:t>
      </w:r>
      <w:r w:rsidRPr="004D3065">
        <w:rPr>
          <w:rFonts w:ascii="Arial" w:eastAsia="Times New Roman" w:hAnsi="Arial" w:cs="Arial"/>
          <w:caps/>
          <w:color w:val="333333"/>
          <w:lang w:eastAsia="en-GB"/>
        </w:rPr>
        <w:t>DOI: 10.1093/OBO/9780199791231-0295</w:t>
      </w:r>
    </w:p>
    <w:p w14:paraId="0B36BFE5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aps/>
          <w:color w:val="333333"/>
          <w:lang w:eastAsia="en-GB"/>
        </w:rPr>
        <w:t>6. 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Maithreyi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, R. (2025). Learning to Service: Vocational Training for Marginalized Youth, Aspirations, Consumption and Social Reproduction, In Mary E John, Elizabeth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Lotz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, and Barbara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Schombucher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 (Eds.) 'Querying Childhoods: Feminist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Reframings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>'. London: Routledge</w:t>
      </w:r>
    </w:p>
    <w:p w14:paraId="4E6C7561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7. </w:t>
      </w:r>
      <w:r w:rsidRPr="004D3065">
        <w:rPr>
          <w:rFonts w:ascii="Arial" w:eastAsia="Times New Roman" w:hAnsi="Arial" w:cs="Arial"/>
          <w:color w:val="2F5496" w:themeColor="accent1" w:themeShade="BF"/>
          <w:lang w:eastAsia="en-GB"/>
        </w:rPr>
        <w:t>Mary E. John (2021). Child Marriage in an International Frame: Feminist Review from India. Oxon: Routledge</w:t>
      </w:r>
    </w:p>
    <w:p w14:paraId="31DFE521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8. Brown, T., and De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Neeve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>, G.  (2025). The Social Life of Skills in the Global South. Oxon: Routledge</w:t>
      </w:r>
    </w:p>
    <w:p w14:paraId="7565E320" w14:textId="77777777" w:rsidR="00457F82" w:rsidRDefault="00457F82" w:rsidP="00457F82">
      <w:pPr>
        <w:rPr>
          <w:lang w:val="en-US"/>
        </w:rPr>
      </w:pPr>
    </w:p>
    <w:p w14:paraId="60C72F0B" w14:textId="77777777" w:rsidR="00457F82" w:rsidRDefault="00457F82" w:rsidP="00457F82">
      <w:pPr>
        <w:rPr>
          <w:lang w:val="en-US"/>
        </w:rPr>
      </w:pPr>
    </w:p>
    <w:p w14:paraId="5464B2E7" w14:textId="77777777" w:rsidR="00457F82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>Gender, Youth, Education and Work</w:t>
      </w:r>
      <w:r>
        <w:rPr>
          <w:rFonts w:ascii="Arial" w:eastAsia="Times New Roman" w:hAnsi="Arial" w:cs="Arial"/>
          <w:color w:val="222222"/>
          <w:lang w:eastAsia="en-GB"/>
        </w:rPr>
        <w:t>:</w:t>
      </w:r>
    </w:p>
    <w:p w14:paraId="36303610" w14:textId="60F5DD4D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(Prepared by</w:t>
      </w:r>
      <w:bookmarkStart w:id="0" w:name="_GoBack"/>
      <w:bookmarkEnd w:id="0"/>
      <w:r>
        <w:rPr>
          <w:rFonts w:ascii="Arial" w:eastAsia="Times New Roman" w:hAnsi="Arial" w:cs="Arial"/>
          <w:color w:val="222222"/>
          <w:lang w:eastAsia="en-GB"/>
        </w:rPr>
        <w:t xml:space="preserve"> Gunjan Wadhwa)</w:t>
      </w:r>
    </w:p>
    <w:p w14:paraId="7296DE19" w14:textId="77777777" w:rsidR="00457F82" w:rsidRPr="004D3065" w:rsidRDefault="00457F82" w:rsidP="00457F82">
      <w:pPr>
        <w:rPr>
          <w:rFonts w:ascii="Arial" w:eastAsia="Times New Roman" w:hAnsi="Arial" w:cs="Arial"/>
          <w:color w:val="222222"/>
          <w:lang w:eastAsia="en-GB"/>
        </w:rPr>
      </w:pPr>
    </w:p>
    <w:p w14:paraId="20D36091" w14:textId="77777777" w:rsidR="00457F82" w:rsidRPr="004D3065" w:rsidRDefault="00457F82" w:rsidP="00457F82">
      <w:pPr>
        <w:numPr>
          <w:ilvl w:val="0"/>
          <w:numId w:val="1"/>
        </w:numPr>
        <w:spacing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Arial" w:eastAsia="Times New Roman" w:hAnsi="Arial" w:cs="Arial"/>
          <w:color w:val="222222"/>
          <w:lang w:eastAsia="en-GB"/>
        </w:rPr>
        <w:t xml:space="preserve">Bessant, J. (2020). Representations of young people and neoliberal developmentalism in the Global South. In S. Swartz, A. Cooper, C.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Batan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 &amp; L. </w:t>
      </w:r>
      <w:proofErr w:type="spellStart"/>
      <w:r w:rsidRPr="004D3065">
        <w:rPr>
          <w:rFonts w:ascii="Arial" w:eastAsia="Times New Roman" w:hAnsi="Arial" w:cs="Arial"/>
          <w:color w:val="222222"/>
          <w:lang w:eastAsia="en-GB"/>
        </w:rPr>
        <w:t>Kropff</w:t>
      </w:r>
      <w:proofErr w:type="spellEnd"/>
      <w:r w:rsidRPr="004D3065">
        <w:rPr>
          <w:rFonts w:ascii="Arial" w:eastAsia="Times New Roman" w:hAnsi="Arial" w:cs="Arial"/>
          <w:color w:val="222222"/>
          <w:lang w:eastAsia="en-GB"/>
        </w:rPr>
        <w:t xml:space="preserve"> Causa (Eds.) </w:t>
      </w:r>
      <w:r w:rsidRPr="004D3065">
        <w:rPr>
          <w:rFonts w:ascii="Calibri" w:eastAsia="Times New Roman" w:hAnsi="Calibri" w:cs="Calibri"/>
          <w:i/>
          <w:iCs/>
          <w:color w:val="222222"/>
          <w:sz w:val="22"/>
          <w:szCs w:val="22"/>
          <w:lang w:eastAsia="en-GB"/>
        </w:rPr>
        <w:t>The Oxford Handbook of Global South Youth Studies</w:t>
      </w:r>
      <w:r w:rsidRPr="004D3065">
        <w:rPr>
          <w:rFonts w:ascii="Calibri" w:eastAsia="Times New Roman" w:hAnsi="Calibri" w:cs="Calibri"/>
          <w:color w:val="222222"/>
          <w:sz w:val="22"/>
          <w:szCs w:val="22"/>
          <w:lang w:eastAsia="en-GB"/>
        </w:rPr>
        <w:t>, pp. 519-538. NY: Oxford University Press.</w:t>
      </w:r>
    </w:p>
    <w:p w14:paraId="682C5B56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Crossouard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 xml:space="preserve">, B., Dunne, M., Moses, D., &amp; </w:t>
      </w: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Adamu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>, S. (2025). Deconstructing deficit in development discourses: young rural women in Northern Nigeria navigating work and education. </w:t>
      </w:r>
      <w:r w:rsidRPr="004D3065">
        <w:rPr>
          <w:rFonts w:ascii="Calibri" w:eastAsia="Times New Roman" w:hAnsi="Calibri" w:cs="Calibri"/>
          <w:i/>
          <w:iCs/>
          <w:color w:val="333333"/>
          <w:lang w:eastAsia="en-GB"/>
        </w:rPr>
        <w:t>Compare: A Journal of Comparative and International Education</w:t>
      </w:r>
      <w:r w:rsidRPr="004D3065">
        <w:rPr>
          <w:rFonts w:ascii="Calibri" w:eastAsia="Times New Roman" w:hAnsi="Calibri" w:cs="Calibri"/>
          <w:color w:val="333333"/>
          <w:lang w:eastAsia="en-GB"/>
        </w:rPr>
        <w:t>, 1–18. </w:t>
      </w:r>
      <w:hyperlink r:id="rId6" w:tgtFrame="_blank" w:history="1">
        <w:r w:rsidRPr="004D3065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https://doi.org/10.1080/03057925.2025.2544524</w:t>
        </w:r>
      </w:hyperlink>
      <w:r w:rsidRPr="004D3065">
        <w:rPr>
          <w:rFonts w:ascii="Calibri" w:eastAsia="Times New Roman" w:hAnsi="Calibri" w:cs="Calibri"/>
          <w:color w:val="333333"/>
          <w:lang w:eastAsia="en-GB"/>
        </w:rPr>
        <w:t> </w:t>
      </w:r>
    </w:p>
    <w:p w14:paraId="08B8E915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t xml:space="preserve">Dunne M., Humphreys, S. (2022) The </w:t>
      </w: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edu-workscape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>: Re-conceptualizing the relationship between work and education in rural children’s lives in Sub-Saharan Africa. </w:t>
      </w:r>
      <w:r w:rsidRPr="004D3065">
        <w:rPr>
          <w:rFonts w:ascii="Calibri" w:eastAsia="Times New Roman" w:hAnsi="Calibri" w:cs="Calibri"/>
          <w:i/>
          <w:iCs/>
          <w:color w:val="000000"/>
          <w:lang w:eastAsia="en-GB"/>
        </w:rPr>
        <w:t>World Development Perspectives</w:t>
      </w:r>
      <w:r w:rsidRPr="004D3065">
        <w:rPr>
          <w:rFonts w:ascii="Calibri" w:eastAsia="Times New Roman" w:hAnsi="Calibri" w:cs="Calibri"/>
          <w:color w:val="000000"/>
          <w:lang w:eastAsia="en-GB"/>
        </w:rPr>
        <w:t> 27: 100443.</w:t>
      </w:r>
    </w:p>
    <w:p w14:paraId="38D28141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t xml:space="preserve">Fennell, S. (2021). Youth employment, informality, and precarity in the Global South. In S. Swartz, A. Cooper, C. </w:t>
      </w: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Batan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 xml:space="preserve"> &amp; L. </w:t>
      </w: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Kropff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 xml:space="preserve"> Causa (Eds.) </w:t>
      </w:r>
      <w:r w:rsidRPr="004D3065">
        <w:rPr>
          <w:rFonts w:ascii="Calibri" w:eastAsia="Times New Roman" w:hAnsi="Calibri" w:cs="Calibri"/>
          <w:i/>
          <w:iCs/>
          <w:color w:val="222222"/>
          <w:lang w:eastAsia="en-GB"/>
        </w:rPr>
        <w:t>The Oxford Handbook of Global South Youth Studies</w:t>
      </w:r>
      <w:r w:rsidRPr="004D3065">
        <w:rPr>
          <w:rFonts w:ascii="Calibri" w:eastAsia="Times New Roman" w:hAnsi="Calibri" w:cs="Calibri"/>
          <w:color w:val="222222"/>
          <w:lang w:eastAsia="en-GB"/>
        </w:rPr>
        <w:t>, pp. 287-304. NY: Oxford University Press.</w:t>
      </w:r>
    </w:p>
    <w:p w14:paraId="7EB55E0C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lastRenderedPageBreak/>
        <w:t>Henderson, E. F., &amp; Sabharwal, N. S. (2024). Gendered conditions of higher education access: advancing a gender prism analytic through the case of Haryana, India. </w:t>
      </w:r>
      <w:r w:rsidRPr="004D3065">
        <w:rPr>
          <w:rFonts w:ascii="Calibri" w:eastAsia="Times New Roman" w:hAnsi="Calibri" w:cs="Calibri"/>
          <w:i/>
          <w:iCs/>
          <w:color w:val="000000"/>
          <w:lang w:eastAsia="en-GB"/>
        </w:rPr>
        <w:t>Educational Review</w:t>
      </w:r>
      <w:r w:rsidRPr="004D3065">
        <w:rPr>
          <w:rFonts w:ascii="Calibri" w:eastAsia="Times New Roman" w:hAnsi="Calibri" w:cs="Calibri"/>
          <w:color w:val="000000"/>
          <w:lang w:eastAsia="en-GB"/>
        </w:rPr>
        <w:t>, 1–20.</w:t>
      </w:r>
    </w:p>
    <w:p w14:paraId="0EE5DE7C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Tambe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 xml:space="preserve">, A., &amp; </w:t>
      </w:r>
      <w:proofErr w:type="spellStart"/>
      <w:r w:rsidRPr="004D3065">
        <w:rPr>
          <w:rFonts w:ascii="Calibri" w:eastAsia="Times New Roman" w:hAnsi="Calibri" w:cs="Calibri"/>
          <w:color w:val="222222"/>
          <w:lang w:eastAsia="en-GB"/>
        </w:rPr>
        <w:t>Dyahadroy</w:t>
      </w:r>
      <w:proofErr w:type="spellEnd"/>
      <w:r w:rsidRPr="004D3065">
        <w:rPr>
          <w:rFonts w:ascii="Calibri" w:eastAsia="Times New Roman" w:hAnsi="Calibri" w:cs="Calibri"/>
          <w:color w:val="222222"/>
          <w:lang w:eastAsia="en-GB"/>
        </w:rPr>
        <w:t>, S. (2023). </w:t>
      </w:r>
      <w:r w:rsidRPr="004D3065">
        <w:rPr>
          <w:rFonts w:ascii="Calibri" w:eastAsia="Times New Roman" w:hAnsi="Calibri" w:cs="Calibri"/>
          <w:i/>
          <w:iCs/>
          <w:color w:val="222222"/>
          <w:lang w:eastAsia="en-GB"/>
        </w:rPr>
        <w:t>Breaking through the Inter-Generational Cycle of Educational Inequalities: First Generation Learners, Stigmatized Occupational Groups and Sustainable Futures</w:t>
      </w:r>
      <w:r w:rsidRPr="004D3065">
        <w:rPr>
          <w:rFonts w:ascii="Calibri" w:eastAsia="Times New Roman" w:hAnsi="Calibri" w:cs="Calibri"/>
          <w:color w:val="222222"/>
          <w:lang w:eastAsia="en-GB"/>
        </w:rPr>
        <w:t>. Bangalore: TESF India, Indian Institute for Human Settlements (IIHS).</w:t>
      </w:r>
    </w:p>
    <w:p w14:paraId="2394F2B8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t>Wadhwa, G. (2024). Gendered navigations of space, work and education in young Adivasi lives in India. In T. Abebe, A. Dar, K. Wells (Eds.) </w:t>
      </w:r>
      <w:r w:rsidRPr="004D3065">
        <w:rPr>
          <w:rFonts w:ascii="Calibri" w:eastAsia="Times New Roman" w:hAnsi="Calibri" w:cs="Calibri"/>
          <w:i/>
          <w:iCs/>
          <w:color w:val="222222"/>
          <w:lang w:eastAsia="en-GB"/>
        </w:rPr>
        <w:t>Routledge Handbook of Childhood Studies and Global Development, </w:t>
      </w:r>
      <w:r w:rsidRPr="004D3065">
        <w:rPr>
          <w:rFonts w:ascii="Calibri" w:eastAsia="Times New Roman" w:hAnsi="Calibri" w:cs="Calibri"/>
          <w:color w:val="222222"/>
          <w:lang w:eastAsia="en-GB"/>
        </w:rPr>
        <w:t>pp. 442-454. London: Routledge. </w:t>
      </w:r>
    </w:p>
    <w:p w14:paraId="2430551C" w14:textId="77777777" w:rsidR="00457F82" w:rsidRPr="004D3065" w:rsidRDefault="00457F82" w:rsidP="00457F82">
      <w:pPr>
        <w:numPr>
          <w:ilvl w:val="0"/>
          <w:numId w:val="2"/>
        </w:numPr>
        <w:spacing w:after="240"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t>Wadhwa, G., &amp; Dunne, M. (2024). Blurring belongings: navigating Indian and Adivasi identities in an area of protracted violence in India. </w:t>
      </w:r>
      <w:r w:rsidRPr="004D3065">
        <w:rPr>
          <w:rFonts w:ascii="Arial" w:eastAsia="Times New Roman" w:hAnsi="Arial" w:cs="Arial"/>
          <w:i/>
          <w:iCs/>
          <w:color w:val="333333"/>
          <w:lang w:eastAsia="en-GB"/>
        </w:rPr>
        <w:t>Social Identities</w:t>
      </w:r>
      <w:r w:rsidRPr="004D3065">
        <w:rPr>
          <w:rFonts w:ascii="Arial" w:eastAsia="Times New Roman" w:hAnsi="Arial" w:cs="Arial"/>
          <w:color w:val="333333"/>
          <w:lang w:eastAsia="en-GB"/>
        </w:rPr>
        <w:t>, </w:t>
      </w:r>
      <w:r w:rsidRPr="004D3065">
        <w:rPr>
          <w:rFonts w:ascii="Arial" w:eastAsia="Times New Roman" w:hAnsi="Arial" w:cs="Arial"/>
          <w:i/>
          <w:iCs/>
          <w:color w:val="333333"/>
          <w:lang w:eastAsia="en-GB"/>
        </w:rPr>
        <w:t>30</w:t>
      </w:r>
      <w:r w:rsidRPr="004D3065">
        <w:rPr>
          <w:rFonts w:ascii="Arial" w:eastAsia="Times New Roman" w:hAnsi="Arial" w:cs="Arial"/>
          <w:color w:val="333333"/>
          <w:lang w:eastAsia="en-GB"/>
        </w:rPr>
        <w:t>(4), 400–417. </w:t>
      </w:r>
      <w:hyperlink r:id="rId7" w:tgtFrame="_blank" w:history="1">
        <w:r w:rsidRPr="004D3065">
          <w:rPr>
            <w:rFonts w:ascii="Arial" w:eastAsia="Times New Roman" w:hAnsi="Arial" w:cs="Arial"/>
            <w:color w:val="1155CC"/>
            <w:u w:val="single"/>
            <w:lang w:eastAsia="en-GB"/>
          </w:rPr>
          <w:t>https://doi.org/10.1080/13504630.2024.2388147</w:t>
        </w:r>
      </w:hyperlink>
    </w:p>
    <w:p w14:paraId="6D3DEBF6" w14:textId="77777777" w:rsidR="00457F82" w:rsidRPr="004D3065" w:rsidRDefault="00457F82" w:rsidP="00457F82">
      <w:pPr>
        <w:numPr>
          <w:ilvl w:val="0"/>
          <w:numId w:val="2"/>
        </w:numPr>
        <w:spacing w:line="276" w:lineRule="atLeast"/>
        <w:rPr>
          <w:rFonts w:ascii="Arial" w:eastAsia="Times New Roman" w:hAnsi="Arial" w:cs="Arial"/>
          <w:color w:val="222222"/>
          <w:lang w:eastAsia="en-GB"/>
        </w:rPr>
      </w:pPr>
      <w:r w:rsidRPr="004D3065">
        <w:rPr>
          <w:rFonts w:ascii="Calibri" w:eastAsia="Times New Roman" w:hAnsi="Calibri" w:cs="Calibri"/>
          <w:color w:val="222222"/>
          <w:lang w:eastAsia="en-GB"/>
        </w:rPr>
        <w:t>Wadhwa, G. (2025). Negotiating difference, (un)contesting temporalities: education as a site of struggle in Adivasi identities in India. </w:t>
      </w:r>
      <w:r w:rsidRPr="004D3065">
        <w:rPr>
          <w:rFonts w:ascii="Calibri" w:eastAsia="Times New Roman" w:hAnsi="Calibri" w:cs="Calibri"/>
          <w:i/>
          <w:iCs/>
          <w:color w:val="333333"/>
          <w:lang w:eastAsia="en-GB"/>
        </w:rPr>
        <w:t>Compare: A Journal of Comparative and International Education</w:t>
      </w:r>
      <w:r w:rsidRPr="004D3065">
        <w:rPr>
          <w:rFonts w:ascii="Calibri" w:eastAsia="Times New Roman" w:hAnsi="Calibri" w:cs="Calibri"/>
          <w:color w:val="333333"/>
          <w:lang w:eastAsia="en-GB"/>
        </w:rPr>
        <w:t>, 1–19. </w:t>
      </w:r>
      <w:hyperlink r:id="rId8" w:tgtFrame="_blank" w:history="1">
        <w:r w:rsidRPr="004D3065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https://doi.org/10.1080/03057925.2025.2544506</w:t>
        </w:r>
      </w:hyperlink>
      <w:r w:rsidRPr="004D3065">
        <w:rPr>
          <w:rFonts w:ascii="Calibri" w:eastAsia="Times New Roman" w:hAnsi="Calibri" w:cs="Calibri"/>
          <w:color w:val="333333"/>
          <w:lang w:eastAsia="en-GB"/>
        </w:rPr>
        <w:t> </w:t>
      </w:r>
    </w:p>
    <w:p w14:paraId="7B921F92" w14:textId="77777777" w:rsidR="00457F82" w:rsidRDefault="00457F82" w:rsidP="00457F82">
      <w:pPr>
        <w:rPr>
          <w:lang w:val="en-US"/>
        </w:rPr>
      </w:pPr>
    </w:p>
    <w:p w14:paraId="2FD210C3" w14:textId="77777777" w:rsidR="00457F82" w:rsidRDefault="00457F82" w:rsidP="00457F82">
      <w:pPr>
        <w:rPr>
          <w:lang w:val="en-US"/>
        </w:rPr>
      </w:pPr>
    </w:p>
    <w:p w14:paraId="28D9D1E6" w14:textId="77777777" w:rsidR="00457F82" w:rsidRPr="004D3065" w:rsidRDefault="00457F82" w:rsidP="00457F82">
      <w:pPr>
        <w:rPr>
          <w:lang w:val="en-US"/>
        </w:rPr>
      </w:pPr>
    </w:p>
    <w:p w14:paraId="6330B580" w14:textId="77777777" w:rsidR="00457F82" w:rsidRDefault="00457F82"/>
    <w:sectPr w:rsidR="00457F82" w:rsidSect="00AC26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A1F7F"/>
    <w:multiLevelType w:val="multilevel"/>
    <w:tmpl w:val="F1FE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801D6"/>
    <w:multiLevelType w:val="multilevel"/>
    <w:tmpl w:val="2E3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82"/>
    <w:rsid w:val="00457F82"/>
    <w:rsid w:val="00AC262F"/>
    <w:rsid w:val="00FA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E07B5"/>
  <w15:chartTrackingRefBased/>
  <w15:docId w15:val="{8B605B78-65FF-1040-B781-35E642B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7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3057925.2025.2544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3504630.2024.2388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3057925.2025.2544524" TargetMode="External"/><Relationship Id="rId5" Type="http://schemas.openxmlformats.org/officeDocument/2006/relationships/hyperlink" Target="https://cds.edu/wp-content/uploads/WP51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2026-02-24T10:52:00Z</dcterms:created>
  <dcterms:modified xsi:type="dcterms:W3CDTF">2026-02-24T10:55:00Z</dcterms:modified>
</cp:coreProperties>
</file>